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5FD" w:rsidRPr="001065FD" w:rsidRDefault="001065FD" w:rsidP="001065FD">
      <w:pPr>
        <w:spacing w:line="0" w:lineRule="auto"/>
        <w:outlineLvl w:val="1"/>
        <w:rPr>
          <w:rFonts w:ascii="Segoe UI" w:eastAsia="Times New Roman" w:hAnsi="Segoe UI" w:cs="Segoe UI"/>
          <w:b/>
          <w:bCs/>
          <w:color w:val="0D0D0D" w:themeColor="text1" w:themeTint="F2"/>
          <w:sz w:val="36"/>
          <w:szCs w:val="36"/>
          <w:lang w:eastAsia="de-DE"/>
        </w:rPr>
      </w:pPr>
      <w:r w:rsidRPr="001065FD">
        <w:rPr>
          <w:rFonts w:ascii="Segoe UI" w:eastAsia="Times New Roman" w:hAnsi="Segoe UI" w:cs="Segoe UI"/>
          <w:b/>
          <w:bCs/>
          <w:color w:val="0D0D0D" w:themeColor="text1" w:themeTint="F2"/>
          <w:sz w:val="36"/>
          <w:szCs w:val="36"/>
          <w:lang w:eastAsia="de-DE"/>
        </w:rPr>
        <w:t>Alessandro Topa</w:t>
      </w:r>
    </w:p>
    <w:p w:rsidR="001065FD" w:rsidRPr="001065FD" w:rsidRDefault="001065FD" w:rsidP="001065FD">
      <w:pPr>
        <w:pStyle w:val="berschrift2"/>
        <w:spacing w:before="0" w:beforeAutospacing="0" w:after="0" w:afterAutospacing="0" w:line="0" w:lineRule="auto"/>
        <w:rPr>
          <w:rFonts w:ascii="var(--sans)" w:hAnsi="var(--sans)"/>
          <w:color w:val="0D0D0D" w:themeColor="text1" w:themeTint="F2"/>
        </w:rPr>
      </w:pPr>
      <w:r w:rsidRPr="001065FD">
        <w:rPr>
          <w:rFonts w:ascii="var(--sans)" w:hAnsi="var(--sans)"/>
          <w:color w:val="0D0D0D" w:themeColor="text1" w:themeTint="F2"/>
        </w:rPr>
        <w:t>Alessandro</w:t>
      </w:r>
      <w:r w:rsidRPr="001065FD">
        <w:rPr>
          <w:rStyle w:val="apple-converted-space"/>
          <w:rFonts w:ascii="var(--sans)" w:hAnsi="var(--sans)"/>
          <w:color w:val="0D0D0D" w:themeColor="text1" w:themeTint="F2"/>
        </w:rPr>
        <w:t> </w:t>
      </w:r>
      <w:r w:rsidRPr="001065FD">
        <w:rPr>
          <w:rFonts w:ascii="var(--sans)" w:hAnsi="var(--sans)"/>
          <w:color w:val="0D0D0D" w:themeColor="text1" w:themeTint="F2"/>
        </w:rPr>
        <w:t>Topa</w:t>
      </w:r>
    </w:p>
    <w:p w:rsidR="001065FD" w:rsidRPr="001065FD" w:rsidRDefault="001065FD" w:rsidP="001065FD">
      <w:pPr>
        <w:pStyle w:val="berschrift2"/>
        <w:spacing w:before="0" w:beforeAutospacing="0" w:after="0" w:afterAutospacing="0" w:line="0" w:lineRule="auto"/>
        <w:rPr>
          <w:rFonts w:ascii="Segoe UI" w:hAnsi="Segoe UI" w:cs="Segoe UI"/>
          <w:color w:val="0D0D0D" w:themeColor="text1" w:themeTint="F2"/>
        </w:rPr>
      </w:pPr>
      <w:r w:rsidRPr="001065FD">
        <w:rPr>
          <w:rFonts w:ascii="Segoe UI" w:hAnsi="Segoe UI" w:cs="Segoe UI"/>
          <w:color w:val="0D0D0D" w:themeColor="text1" w:themeTint="F2"/>
        </w:rPr>
        <w:t>Alessandro</w:t>
      </w:r>
      <w:r w:rsidRPr="001065FD">
        <w:rPr>
          <w:rStyle w:val="apple-converted-space"/>
          <w:rFonts w:ascii="Segoe UI" w:hAnsi="Segoe UI" w:cs="Segoe UI"/>
          <w:color w:val="0D0D0D" w:themeColor="text1" w:themeTint="F2"/>
        </w:rPr>
        <w:t> </w:t>
      </w:r>
      <w:r w:rsidRPr="001065FD">
        <w:rPr>
          <w:rFonts w:ascii="Segoe UI" w:hAnsi="Segoe UI" w:cs="Segoe UI"/>
          <w:color w:val="0D0D0D" w:themeColor="text1" w:themeTint="F2"/>
        </w:rPr>
        <w:t>Topa</w:t>
      </w:r>
    </w:p>
    <w:p w:rsidR="001065FD" w:rsidRPr="000B6B62" w:rsidRDefault="001065FD" w:rsidP="001065FD">
      <w:pPr>
        <w:rPr>
          <w:rFonts w:ascii="var(--sans)" w:eastAsia="Times New Roman" w:hAnsi="var(--sans)" w:cs="Segoe UI"/>
          <w:b/>
          <w:bCs/>
          <w:color w:val="0D0D0D" w:themeColor="text1" w:themeTint="F2"/>
          <w:sz w:val="28"/>
          <w:szCs w:val="28"/>
          <w:lang w:val="en-US" w:eastAsia="de-DE"/>
        </w:rPr>
      </w:pPr>
      <w:r w:rsidRPr="000B6B62">
        <w:rPr>
          <w:rFonts w:ascii="var(--sans)" w:eastAsia="Times New Roman" w:hAnsi="var(--sans)" w:cs="Segoe UI"/>
          <w:b/>
          <w:bCs/>
          <w:color w:val="0D0D0D" w:themeColor="text1" w:themeTint="F2"/>
          <w:sz w:val="28"/>
          <w:szCs w:val="28"/>
          <w:lang w:val="en-US" w:eastAsia="de-DE"/>
        </w:rPr>
        <w:t xml:space="preserve">Alessandro </w:t>
      </w:r>
      <w:proofErr w:type="spellStart"/>
      <w:r w:rsidRPr="000B6B62">
        <w:rPr>
          <w:rFonts w:ascii="var(--sans)" w:eastAsia="Times New Roman" w:hAnsi="var(--sans)" w:cs="Segoe UI"/>
          <w:b/>
          <w:bCs/>
          <w:color w:val="0D0D0D" w:themeColor="text1" w:themeTint="F2"/>
          <w:sz w:val="28"/>
          <w:szCs w:val="28"/>
          <w:lang w:val="en-US" w:eastAsia="de-DE"/>
        </w:rPr>
        <w:t>Topa</w:t>
      </w:r>
      <w:proofErr w:type="spellEnd"/>
    </w:p>
    <w:p w:rsidR="001065FD" w:rsidRPr="001065FD" w:rsidRDefault="001065FD" w:rsidP="001065FD">
      <w:pPr>
        <w:rPr>
          <w:rFonts w:ascii="var(--sans)" w:eastAsia="Times New Roman" w:hAnsi="var(--sans)" w:cs="Segoe UI"/>
          <w:b/>
          <w:bCs/>
          <w:color w:val="0D0D0D" w:themeColor="text1" w:themeTint="F2"/>
          <w:sz w:val="28"/>
          <w:szCs w:val="28"/>
          <w:lang w:eastAsia="de-DE"/>
        </w:rPr>
      </w:pPr>
    </w:p>
    <w:p w:rsidR="001065FD" w:rsidRPr="001065FD" w:rsidRDefault="001065FD" w:rsidP="001065FD">
      <w:pPr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>Position: </w:t>
      </w:r>
      <w:r w:rsidR="00C02124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ab/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Associate Professor and Chair</w:t>
      </w:r>
    </w:p>
    <w:p w:rsidR="001065FD" w:rsidRPr="001065FD" w:rsidRDefault="001065FD" w:rsidP="001065FD">
      <w:pPr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>Department: </w:t>
      </w:r>
      <w:r w:rsidR="00C02124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ab/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Department of Philosophy</w:t>
      </w:r>
    </w:p>
    <w:p w:rsidR="001065FD" w:rsidRPr="001065FD" w:rsidRDefault="001065FD" w:rsidP="001065FD">
      <w:pPr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>Email:</w:t>
      </w:r>
      <w:r w:rsidR="00C02124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ab/>
      </w:r>
      <w:r w:rsidR="00C02124">
        <w:rPr>
          <w:rFonts w:ascii="var(--sans)" w:eastAsia="Times New Roman" w:hAnsi="var(--sans)" w:cs="Segoe UI"/>
          <w:b/>
          <w:bCs/>
          <w:color w:val="0D0D0D" w:themeColor="text1" w:themeTint="F2"/>
          <w:sz w:val="22"/>
          <w:szCs w:val="22"/>
          <w:lang w:eastAsia="de-DE"/>
        </w:rPr>
        <w:tab/>
      </w:r>
      <w:hyperlink r:id="rId5" w:history="1">
        <w:r w:rsidR="00C02124" w:rsidRPr="001065FD">
          <w:rPr>
            <w:rStyle w:val="Hyperlink"/>
            <w:rFonts w:ascii="var(--sans)" w:eastAsia="Times New Roman" w:hAnsi="var(--sans)" w:cs="Segoe UI"/>
            <w:sz w:val="22"/>
            <w:szCs w:val="22"/>
            <w:lang w:eastAsia="de-D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a.topa@aucegypt.edu</w:t>
        </w:r>
      </w:hyperlink>
    </w:p>
    <w:p w:rsidR="001065FD" w:rsidRPr="000B6B62" w:rsidRDefault="001065FD">
      <w:pPr>
        <w:rPr>
          <w:color w:val="0D0D0D" w:themeColor="text1" w:themeTint="F2"/>
          <w:lang w:val="en-US"/>
        </w:rPr>
      </w:pPr>
    </w:p>
    <w:p w:rsidR="00C02124" w:rsidRPr="000B6B62" w:rsidRDefault="00C02124">
      <w:pPr>
        <w:rPr>
          <w:color w:val="0D0D0D" w:themeColor="text1" w:themeTint="F2"/>
          <w:sz w:val="22"/>
          <w:szCs w:val="22"/>
          <w:lang w:val="en-US"/>
        </w:rPr>
      </w:pPr>
    </w:p>
    <w:p w:rsidR="001065FD" w:rsidRPr="00C02124" w:rsidRDefault="001065FD" w:rsidP="001065FD">
      <w:pPr>
        <w:spacing w:line="288" w:lineRule="atLeast"/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  <w:t>Brief Biography</w:t>
      </w:r>
    </w:p>
    <w:p w:rsidR="001065FD" w:rsidRPr="001065FD" w:rsidRDefault="001065FD" w:rsidP="001065FD">
      <w:pPr>
        <w:spacing w:line="288" w:lineRule="atLeast"/>
        <w:rPr>
          <w:rFonts w:ascii="Segoe UI" w:eastAsia="Times New Roman" w:hAnsi="Segoe UI" w:cs="Segoe UI"/>
          <w:color w:val="0D0D0D" w:themeColor="text1" w:themeTint="F2"/>
          <w:sz w:val="22"/>
          <w:szCs w:val="22"/>
          <w:lang w:eastAsia="de-DE"/>
        </w:rPr>
      </w:pPr>
    </w:p>
    <w:p w:rsidR="00C02124" w:rsidRPr="001065FD" w:rsidRDefault="001065FD" w:rsidP="00C02124">
      <w:pPr>
        <w:spacing w:after="150"/>
        <w:jc w:val="both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Alessandro Topa obtained both his MA (L</w:t>
      </w:r>
      <w:r w:rsidRPr="001065FD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eastAsia="de-DE"/>
        </w:rPr>
        <w:t>ógos and Praxis. The Structure of Practical Knowledge in Plato’s Early Dialogues,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 1998) and PhD (</w:t>
      </w:r>
      <w:r w:rsidRPr="001065FD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eastAsia="de-DE"/>
        </w:rPr>
        <w:t>Since Thought Needs a Body. The Problem of a Metaphysical Deduction of the Categories in Kant and Peirce,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 2006) from the Rheinische Friedrich-Wilhelms-Universität Bonn, Germany, where he studied philosophy, communication research and comparative literature. 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In 202</w:t>
      </w:r>
      <w:r w:rsidR="00FF0B25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3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he completed his Habilitation (</w:t>
      </w:r>
      <w:r w:rsidR="000B6B62" w:rsidRPr="000B6B62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>Living Reason</w:t>
      </w:r>
      <w:r w:rsidR="000B6B62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. </w:t>
      </w:r>
      <w:proofErr w:type="spellStart"/>
      <w:r w:rsidRPr="00C02124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>The</w:t>
      </w:r>
      <w:proofErr w:type="spellEnd"/>
      <w:r w:rsidRPr="00C02124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 xml:space="preserve"> Normative Foundations of Peirce’s Semiotic Logic,</w:t>
      </w:r>
      <w:r w:rsidR="00FF0B25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2023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) and obtained </w:t>
      </w:r>
      <w:r w:rsidR="00FF0B25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his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</w:t>
      </w:r>
      <w:proofErr w:type="spellStart"/>
      <w:r w:rsidRPr="00C02124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>venia</w:t>
      </w:r>
      <w:proofErr w:type="spellEnd"/>
      <w:r w:rsidRPr="00C02124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 xml:space="preserve"> </w:t>
      </w:r>
      <w:proofErr w:type="spellStart"/>
      <w:r w:rsidRPr="00C02124">
        <w:rPr>
          <w:rFonts w:ascii="var(--sans)" w:eastAsia="Times New Roman" w:hAnsi="var(--sans)" w:cs="Segoe UI"/>
          <w:i/>
          <w:iCs/>
          <w:color w:val="0D0D0D" w:themeColor="text1" w:themeTint="F2"/>
          <w:sz w:val="22"/>
          <w:szCs w:val="22"/>
          <w:lang w:val="en-US" w:eastAsia="de-DE"/>
        </w:rPr>
        <w:t>legendi</w:t>
      </w:r>
      <w:proofErr w:type="spellEnd"/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</w:t>
      </w:r>
      <w:r w:rsidR="00FF0B25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in philosophy 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from the Otto-Friedrich University in Bamberg</w:t>
      </w:r>
      <w:r w:rsidR="00C02124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, Germany.</w:t>
      </w:r>
      <w:r w:rsid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Topa joined the Department of Philosophy at The American University in Cairo (AUC) in September 2009, acting as the graduate program director 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from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 2015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to 2019 and as the Chair of the Department since 2023.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 He is a member of the Kant-Society, the German Society for Philosophy and the German Society for Semiotics.</w:t>
      </w:r>
    </w:p>
    <w:p w:rsidR="001065FD" w:rsidRPr="001065FD" w:rsidRDefault="001065FD" w:rsidP="001065FD">
      <w:pPr>
        <w:spacing w:line="288" w:lineRule="atLeast"/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  <w:t>Research Interest</w:t>
      </w:r>
    </w:p>
    <w:p w:rsidR="001065FD" w:rsidRDefault="001065FD" w:rsidP="00031675">
      <w:pPr>
        <w:numPr>
          <w:ilvl w:val="0"/>
          <w:numId w:val="1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Categoriology </w:t>
      </w:r>
    </w:p>
    <w:p w:rsidR="00EF009B" w:rsidRPr="00C02124" w:rsidRDefault="00EF009B" w:rsidP="00031675">
      <w:pPr>
        <w:numPr>
          <w:ilvl w:val="0"/>
          <w:numId w:val="1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proofErr w:type="spellStart"/>
      <w:r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Social</w:t>
      </w:r>
      <w:proofErr w:type="spellEnd"/>
      <w:r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 xml:space="preserve"> </w:t>
      </w:r>
      <w:proofErr w:type="spellStart"/>
      <w:r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and</w:t>
      </w:r>
      <w:proofErr w:type="spellEnd"/>
      <w:r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 xml:space="preserve"> Political </w:t>
      </w:r>
      <w:proofErr w:type="spellStart"/>
      <w:r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Philosophy</w:t>
      </w:r>
      <w:proofErr w:type="spellEnd"/>
    </w:p>
    <w:p w:rsidR="001065FD" w:rsidRPr="001065FD" w:rsidRDefault="001065FD" w:rsidP="00031675">
      <w:pPr>
        <w:numPr>
          <w:ilvl w:val="0"/>
          <w:numId w:val="1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Semeiotic</w:t>
      </w:r>
      <w:r w:rsidR="00530C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 xml:space="preserve">s </w:t>
      </w:r>
      <w:proofErr w:type="spellStart"/>
      <w:r w:rsidR="00530C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and</w:t>
      </w:r>
      <w:proofErr w:type="spellEnd"/>
      <w:r w:rsidR="00530C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 xml:space="preserve"> </w:t>
      </w:r>
      <w:proofErr w:type="spellStart"/>
      <w:r w:rsidR="00530C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Semeiotic</w:t>
      </w:r>
      <w:proofErr w:type="spellEnd"/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 Logic </w:t>
      </w:r>
    </w:p>
    <w:p w:rsidR="001065FD" w:rsidRPr="001065FD" w:rsidRDefault="001065FD" w:rsidP="001065FD">
      <w:pPr>
        <w:numPr>
          <w:ilvl w:val="0"/>
          <w:numId w:val="1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Theories of</w:t>
      </w:r>
      <w:r w:rsidR="00FF0B25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Action,</w:t>
      </w: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 xml:space="preserve"> Normativity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and Rationality</w:t>
      </w:r>
    </w:p>
    <w:p w:rsidR="001065FD" w:rsidRPr="001065FD" w:rsidRDefault="001065FD" w:rsidP="001065FD">
      <w:pPr>
        <w:numPr>
          <w:ilvl w:val="0"/>
          <w:numId w:val="1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Classical</w:t>
      </w:r>
      <w:r w:rsidR="00530C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 xml:space="preserve"> Greek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, German and American Philosophy</w:t>
      </w:r>
    </w:p>
    <w:p w:rsidR="001065FD" w:rsidRPr="001065FD" w:rsidRDefault="001065FD" w:rsidP="001065FD">
      <w:pPr>
        <w:spacing w:line="288" w:lineRule="atLeast"/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Segoe UI" w:eastAsia="Times New Roman" w:hAnsi="Segoe UI" w:cs="Segoe UI"/>
          <w:b/>
          <w:bCs/>
          <w:color w:val="0D0D0D" w:themeColor="text1" w:themeTint="F2"/>
          <w:sz w:val="22"/>
          <w:szCs w:val="22"/>
          <w:lang w:eastAsia="de-DE"/>
        </w:rPr>
        <w:t>Education</w:t>
      </w:r>
    </w:p>
    <w:p w:rsidR="001065FD" w:rsidRPr="001065FD" w:rsidRDefault="001065FD" w:rsidP="001065FD">
      <w:pPr>
        <w:numPr>
          <w:ilvl w:val="0"/>
          <w:numId w:val="2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MA, Rheinische Friedrich-Wilhelms-Universität Bonn (1998)</w:t>
      </w:r>
    </w:p>
    <w:p w:rsidR="001065FD" w:rsidRPr="00C02124" w:rsidRDefault="001065FD" w:rsidP="001065FD">
      <w:pPr>
        <w:numPr>
          <w:ilvl w:val="0"/>
          <w:numId w:val="2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1065FD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  <w:t>PhD, Rheinische Friedrich-Wilhelms-Universität Bonn (2006)</w:t>
      </w:r>
    </w:p>
    <w:p w:rsidR="00FF0B25" w:rsidRPr="00C02124" w:rsidRDefault="00FF0B25" w:rsidP="001065FD">
      <w:pPr>
        <w:numPr>
          <w:ilvl w:val="0"/>
          <w:numId w:val="2"/>
        </w:numPr>
        <w:spacing w:before="100" w:beforeAutospacing="1" w:after="100" w:afterAutospacing="1"/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eastAsia="de-DE"/>
        </w:rPr>
      </w:pP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Habil</w:t>
      </w:r>
      <w:r w:rsidR="00C02124"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>itation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de-DE" w:eastAsia="de-DE"/>
        </w:rPr>
        <w:t xml:space="preserve">, </w:t>
      </w:r>
      <w:r w:rsidRPr="00C02124">
        <w:rPr>
          <w:rFonts w:ascii="var(--sans)" w:eastAsia="Times New Roman" w:hAnsi="var(--sans)" w:cs="Segoe UI"/>
          <w:color w:val="0D0D0D" w:themeColor="text1" w:themeTint="F2"/>
          <w:sz w:val="22"/>
          <w:szCs w:val="22"/>
          <w:lang w:val="en-US" w:eastAsia="de-DE"/>
        </w:rPr>
        <w:t>Otto-Friedrich University Bamberg (2023)</w:t>
      </w:r>
    </w:p>
    <w:p w:rsidR="00FF0B25" w:rsidRPr="00C02124" w:rsidRDefault="00BB3E25" w:rsidP="00BB3E25">
      <w:pPr>
        <w:spacing w:line="288" w:lineRule="atLeast"/>
        <w:rPr>
          <w:rFonts w:ascii="Segoe UI" w:eastAsia="Times New Roman" w:hAnsi="Segoe UI" w:cs="Segoe UI"/>
          <w:b/>
          <w:bCs/>
          <w:color w:val="0D0D0D" w:themeColor="text1" w:themeTint="F2"/>
          <w:lang w:val="de-DE" w:eastAsia="de-DE"/>
        </w:rPr>
      </w:pPr>
      <w:r w:rsidRPr="00C02124">
        <w:rPr>
          <w:rFonts w:ascii="Segoe UI" w:eastAsia="Times New Roman" w:hAnsi="Segoe UI" w:cs="Segoe UI"/>
          <w:b/>
          <w:bCs/>
          <w:color w:val="0D0D0D" w:themeColor="text1" w:themeTint="F2"/>
          <w:lang w:val="de-DE" w:eastAsia="de-DE"/>
        </w:rPr>
        <w:t>Publications</w:t>
      </w:r>
    </w:p>
    <w:p w:rsidR="001065FD" w:rsidRDefault="001065FD">
      <w:pPr>
        <w:rPr>
          <w:color w:val="0D0D0D" w:themeColor="text1" w:themeTint="F2"/>
        </w:rPr>
      </w:pPr>
    </w:p>
    <w:p w:rsidR="00FF0B25" w:rsidRPr="00C02124" w:rsidRDefault="00FF0B25" w:rsidP="00FF0B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de-DE"/>
        </w:rPr>
      </w:pPr>
      <w:r w:rsidRPr="00C0212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de-DE"/>
        </w:rPr>
        <w:t>Monographs</w:t>
      </w:r>
    </w:p>
    <w:p w:rsidR="00BB3E25" w:rsidRPr="00FF0B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</w:pPr>
    </w:p>
    <w:p w:rsidR="00FF0B25" w:rsidRDefault="00FF0B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Topa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A. (2007): </w:t>
      </w:r>
      <w:r w:rsidRPr="00BB3E25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 xml:space="preserve">Die Genese der </w:t>
      </w:r>
      <w:proofErr w:type="spellStart"/>
      <w:r w:rsidRPr="00BB3E25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>Peirce’schen</w:t>
      </w:r>
      <w:proofErr w:type="spellEnd"/>
      <w:r w:rsidRPr="00BB3E25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 xml:space="preserve"> Semiotik. Teil I: Das Kategorienproblem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(1857-1865),</w:t>
      </w: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Königshausen &amp; Neumann,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Würzburg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</w:p>
    <w:p w:rsidR="00BB3E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Topa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A. (2024): </w:t>
      </w:r>
      <w:r w:rsidRPr="000B6B62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 xml:space="preserve">Lebendige Vernunft. Die normativen Grundlagen der </w:t>
      </w:r>
      <w:proofErr w:type="spellStart"/>
      <w:r w:rsidRPr="000B6B62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>Peirce’schen</w:t>
      </w:r>
      <w:proofErr w:type="spellEnd"/>
      <w:r w:rsidRPr="000B6B62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 xml:space="preserve"> Logik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, Königshausen &amp;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Neumann,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Würzburg</w:t>
      </w:r>
      <w:proofErr w:type="spellEnd"/>
      <w:r w:rsidR="00BB3E25"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</w:p>
    <w:p w:rsidR="00A5234C" w:rsidRDefault="00A5234C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:rsidR="00FF0B25" w:rsidRPr="00C02124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</w:pPr>
      <w:r w:rsidRPr="00C0212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  <w:t>Book Chapters</w:t>
      </w:r>
    </w:p>
    <w:p w:rsidR="00BB3E25" w:rsidRPr="00BB3E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</w:pPr>
    </w:p>
    <w:p w:rsidR="00FF0B25" w:rsidRPr="00FF0B25" w:rsidRDefault="00FF0B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(2013): “«A Circle of Categories of which Kant’s form an Arc»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Zur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diagrammatischen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Form</w:t>
      </w:r>
    </w:p>
    <w:p w:rsidR="00FF0B25" w:rsidRPr="00A5234C" w:rsidRDefault="00FF0B25" w:rsidP="00A52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des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topischen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Zusammenhangs in der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frühen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Peirce’schen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Kategorienspekulation”, in: Engel, F.,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Queisner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M. &amp; Viola, T. (Eds.): </w:t>
      </w:r>
      <w:r w:rsidRPr="00A5234C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>Das Bildnerische Denken: Charles S. Peirce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, Akademie-Verlag, Berlin,</w:t>
      </w:r>
      <w:r w:rsidR="00A5234C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r w:rsidRPr="00A5234C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pp. 189-218. </w:t>
      </w:r>
    </w:p>
    <w:p w:rsidR="00BB3E25" w:rsidRPr="00A5234C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:rsidR="00BB3E25" w:rsidRPr="000B6B62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lastRenderedPageBreak/>
        <w:t>Topa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A. (2021): “Dialogische Form in und bei Peirce”, in: </w:t>
      </w:r>
      <w:r w:rsidRPr="00A5234C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>Analytische Explikationen &amp; Interventionen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Brandl, J.,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Kobow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B. et al. </w:t>
      </w:r>
      <w:r w:rsidRPr="000B6B62">
        <w:rPr>
          <w:rFonts w:ascii="Times New Roman" w:hAnsi="Times New Roman" w:cs="Times New Roman"/>
          <w:color w:val="000000"/>
          <w:sz w:val="22"/>
          <w:szCs w:val="22"/>
          <w:lang w:val="en-US"/>
        </w:rPr>
        <w:t>(Eds.), Leiden, pp. 121-136.</w:t>
      </w:r>
    </w:p>
    <w:p w:rsidR="00BB3E25" w:rsidRPr="000B6B62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BB3E25" w:rsidRPr="00FF0B25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(2022): “On a Rhetorical Ground of Human Togetherness: Plurality and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Mediality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 Arendt</w:t>
      </w:r>
    </w:p>
    <w:p w:rsidR="00BB3E25" w:rsidRPr="00FF0B25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and Peirce”, in: </w:t>
      </w:r>
      <w:r w:rsidRPr="00A5234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Hannah Arendt: Challenges of Plurality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Robaszkiewicz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M. &amp; Matzner, T. (Eds.), pp. 37-55.</w:t>
      </w:r>
    </w:p>
    <w:p w:rsidR="00BB3E25" w:rsidRPr="00BB3E25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BB3E25" w:rsidRPr="00BB3E25" w:rsidRDefault="00BB3E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BB3E25" w:rsidRPr="00C02124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</w:pPr>
      <w:r w:rsidRPr="00C0212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  <w:t>Papers</w:t>
      </w:r>
    </w:p>
    <w:p w:rsidR="00BB3E25" w:rsidRPr="000B6B62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P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(2015): “»The Sense of Talking of Modes of Being« – Envisaging the (Non)Identity of</w:t>
      </w: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Mode and Category in the Horizon of an Architectonic Hermeneutic of Being”, in: </w:t>
      </w:r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Journal</w:t>
      </w:r>
      <w:r w:rsid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Phänomenologie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44/2015, pp. 39-55.</w:t>
      </w:r>
    </w:p>
    <w:p w:rsidR="00BB3E25" w:rsidRPr="00FF0B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Default="00FF0B25" w:rsidP="00C021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(2016): “»I have to confess I cannot read history so« – On the Origins and</w:t>
      </w:r>
      <w:r w:rsidR="00C0212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Development of Peirce’s Philosophy of History”, in: </w:t>
      </w:r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European Journal of American Philosophy and</w:t>
      </w:r>
      <w:r w:rsidR="00C0212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Pragmatism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vol. VIII/2, pp. 71-96.</w:t>
      </w:r>
    </w:p>
    <w:p w:rsidR="00BB3E25" w:rsidRPr="00FF0B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Pr="00FF0B25" w:rsidRDefault="00FF0B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(2017): “The Reemergence of Schiller in Peirce’s Reminiscences of the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Æsthetic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Letters: A</w:t>
      </w: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Critical Addendum to D. Dilworth’s Account of the Provenance of Peirce’s Categories in Schiller”, in: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vol. XVIII/2, pp. 326-343.</w:t>
      </w:r>
    </w:p>
    <w:p w:rsidR="00BB3E25" w:rsidRPr="00FF0B25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(2018): “The Categories in Disguise: a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Categoriological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Specification of D. Dilworth’s Account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of the Provenance of Peirce’s Categories in Schiller”, in: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vol.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19/2, pp. 160-178.</w:t>
      </w:r>
    </w:p>
    <w:p w:rsidR="00BB3E25" w:rsidRPr="00FF0B25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Default="00FF0B25" w:rsidP="00C021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A, (2019): “«In the memory of these concrete living gests»: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C.S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. Peirce on Science of Review”,</w:t>
      </w:r>
      <w:r w:rsidR="00C0212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in: </w:t>
      </w:r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Transactions of the Charles S. Peirce Society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07/2019, Volume 55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(3).</w:t>
      </w:r>
    </w:p>
    <w:p w:rsidR="00BB3E25" w:rsidRPr="00FF0B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Default="00FF0B25" w:rsidP="00BB3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(2020): “The general secret of rendering signs effective: On the Aristotelian roots of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Peirce’s conception of rhetoric as a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dynamis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téchne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and semeiotic form of the summum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bonum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”, in: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20/2, pp. 404-428.</w:t>
      </w:r>
    </w:p>
    <w:p w:rsidR="00BB3E25" w:rsidRPr="00FF0B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P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(2020): “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C.S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. Peirce on Dialogical Form”, in</w:t>
      </w:r>
      <w:r w:rsidR="00C0212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: </w:t>
      </w:r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Transactions of the Charles Sanders Peirce</w:t>
      </w:r>
      <w:r w:rsidR="00C0212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02124"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Society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r w:rsidRPr="00FF0B25">
        <w:rPr>
          <w:rFonts w:ascii="Times New Roman" w:hAnsi="Times New Roman" w:cs="Times New Roman"/>
          <w:color w:val="333333"/>
          <w:sz w:val="22"/>
          <w:szCs w:val="22"/>
          <w:lang w:val="en-US"/>
        </w:rPr>
        <w:t>Volume 56</w:t>
      </w:r>
      <w:r w:rsidR="00BB3E25">
        <w:rPr>
          <w:rFonts w:ascii="Times New Roman" w:hAnsi="Times New Roman" w:cs="Times New Roman"/>
          <w:color w:val="333333"/>
          <w:sz w:val="22"/>
          <w:szCs w:val="22"/>
          <w:lang w:val="en-US"/>
        </w:rPr>
        <w:t xml:space="preserve"> (</w:t>
      </w:r>
      <w:r w:rsidRPr="00FF0B25">
        <w:rPr>
          <w:rFonts w:ascii="Times New Roman" w:hAnsi="Times New Roman" w:cs="Times New Roman"/>
          <w:color w:val="333333"/>
          <w:sz w:val="22"/>
          <w:szCs w:val="22"/>
          <w:lang w:val="en-US"/>
        </w:rPr>
        <w:t>4</w:t>
      </w:r>
      <w:r w:rsidR="00BB3E25">
        <w:rPr>
          <w:rFonts w:ascii="Times New Roman" w:hAnsi="Times New Roman" w:cs="Times New Roman"/>
          <w:color w:val="333333"/>
          <w:sz w:val="22"/>
          <w:szCs w:val="22"/>
          <w:lang w:val="en-US"/>
        </w:rPr>
        <w:t>)</w:t>
      </w:r>
      <w:r w:rsidRPr="00FF0B25">
        <w:rPr>
          <w:rFonts w:ascii="Times New Roman" w:hAnsi="Times New Roman" w:cs="Times New Roman"/>
          <w:color w:val="333333"/>
          <w:sz w:val="22"/>
          <w:szCs w:val="22"/>
          <w:lang w:val="en-US"/>
        </w:rPr>
        <w:t>.</w:t>
      </w:r>
    </w:p>
    <w:p w:rsidR="00BB3E25" w:rsidRDefault="00BB3E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F0B25" w:rsidRPr="00FF0B25" w:rsidRDefault="00FF0B25" w:rsidP="00FF0B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(2020): “Graphic Instinct: The Account of Rhetorical Action and its Instinctive Roots in</w:t>
      </w:r>
    </w:p>
    <w:p w:rsidR="00FF0B25" w:rsidRPr="00BB3E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Peirce’s Classification of Practical Sciences”, in: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vol. 21/1, pp. 132-</w:t>
      </w:r>
      <w:r w:rsidRP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>151.</w:t>
      </w:r>
    </w:p>
    <w:p w:rsidR="00BB3E25" w:rsidRPr="00BB3E25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A. (2022): “A Clue to the Genesis of the Normative Sciences: Chronology, Context and Relevance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of Peirce’s Classifications of Ends”, in: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vol. 23/1, pp. 3-28.</w:t>
      </w:r>
    </w:p>
    <w:p w:rsidR="00BB3E25" w:rsidRPr="00FF0B25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FF0B25" w:rsidRPr="00BB3E25" w:rsidRDefault="00FF0B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(2023): “The </w:t>
      </w: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Dialogicality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of Peircean Esthetics”, in: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, São Paolo, vol.</w:t>
      </w:r>
      <w:r w:rsid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BB3E25">
        <w:rPr>
          <w:rFonts w:ascii="Times New Roman" w:hAnsi="Times New Roman" w:cs="Times New Roman"/>
          <w:color w:val="000000"/>
          <w:sz w:val="22"/>
          <w:szCs w:val="22"/>
          <w:lang w:val="en-US"/>
        </w:rPr>
        <w:t>24/1, pp. 3-37.</w:t>
      </w:r>
    </w:p>
    <w:p w:rsidR="00BB3E25" w:rsidRPr="00BB3E25" w:rsidRDefault="00BB3E25" w:rsidP="00FF0B25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BB3E25" w:rsidRPr="000B6B62" w:rsidRDefault="00BB3E25" w:rsidP="00FF0B25">
      <w:pPr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0B6B62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Reviews</w:t>
      </w:r>
    </w:p>
    <w:p w:rsidR="00BB3E25" w:rsidRPr="000B6B62" w:rsidRDefault="00BB3E25" w:rsidP="00FF0B25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BB3E25" w:rsidRPr="00FF0B25" w:rsidRDefault="00BB3E25" w:rsidP="00BB3E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Topa</w:t>
      </w:r>
      <w:proofErr w:type="spellEnd"/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A. (2019): “Francesco Bellucci: Peirce’s Speculative Grammar”, in: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Cognitio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Revista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Filosofia</w:t>
      </w:r>
      <w:proofErr w:type="spellEnd"/>
      <w:r w:rsidRPr="00C02124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,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São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F0B25">
        <w:rPr>
          <w:rFonts w:ascii="Times New Roman" w:hAnsi="Times New Roman" w:cs="Times New Roman"/>
          <w:color w:val="000000"/>
          <w:sz w:val="22"/>
          <w:szCs w:val="22"/>
          <w:lang w:val="en-US"/>
        </w:rPr>
        <w:t>Paolo, vol. 20/1, pp. 180-202.</w:t>
      </w:r>
    </w:p>
    <w:p w:rsidR="00BB3E25" w:rsidRPr="00BB3E25" w:rsidRDefault="00BB3E25" w:rsidP="00FF0B25">
      <w:pPr>
        <w:rPr>
          <w:color w:val="0D0D0D" w:themeColor="text1" w:themeTint="F2"/>
          <w:lang w:val="en-US"/>
        </w:rPr>
      </w:pPr>
    </w:p>
    <w:p w:rsidR="001065FD" w:rsidRPr="001065FD" w:rsidRDefault="001065FD">
      <w:pPr>
        <w:rPr>
          <w:color w:val="0D0D0D" w:themeColor="text1" w:themeTint="F2"/>
        </w:rPr>
      </w:pPr>
    </w:p>
    <w:sectPr w:rsidR="001065FD" w:rsidRPr="00106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sans)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0039B"/>
    <w:multiLevelType w:val="multilevel"/>
    <w:tmpl w:val="143A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9111D"/>
    <w:multiLevelType w:val="multilevel"/>
    <w:tmpl w:val="97C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730D4"/>
    <w:multiLevelType w:val="multilevel"/>
    <w:tmpl w:val="E69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F2B04"/>
    <w:multiLevelType w:val="multilevel"/>
    <w:tmpl w:val="C85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5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D"/>
    <w:rsid w:val="000B6B62"/>
    <w:rsid w:val="001065FD"/>
    <w:rsid w:val="004A24B4"/>
    <w:rsid w:val="00525C1A"/>
    <w:rsid w:val="00530CFD"/>
    <w:rsid w:val="00824C1B"/>
    <w:rsid w:val="00A5234C"/>
    <w:rsid w:val="00BB3E25"/>
    <w:rsid w:val="00C02124"/>
    <w:rsid w:val="00EF009B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E5868"/>
  <w15:chartTrackingRefBased/>
  <w15:docId w15:val="{DF61D0B8-E62C-544C-91F0-0870400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B25"/>
  </w:style>
  <w:style w:type="paragraph" w:styleId="berschrift2">
    <w:name w:val="heading 2"/>
    <w:basedOn w:val="Standard"/>
    <w:link w:val="berschrift2Zchn"/>
    <w:uiPriority w:val="9"/>
    <w:qFormat/>
    <w:rsid w:val="001065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6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1065FD"/>
    <w:rPr>
      <w:i/>
      <w:iCs/>
    </w:rPr>
  </w:style>
  <w:style w:type="character" w:customStyle="1" w:styleId="apple-converted-space">
    <w:name w:val="apple-converted-space"/>
    <w:basedOn w:val="Absatz-Standardschriftart"/>
    <w:rsid w:val="001065FD"/>
  </w:style>
  <w:style w:type="character" w:customStyle="1" w:styleId="berschrift2Zchn">
    <w:name w:val="Überschrift 2 Zchn"/>
    <w:basedOn w:val="Absatz-Standardschriftart"/>
    <w:link w:val="berschrift2"/>
    <w:uiPriority w:val="9"/>
    <w:rsid w:val="001065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profilecontent-bio--contact-email">
    <w:name w:val="profile__content-bio--contact-email"/>
    <w:basedOn w:val="Standard"/>
    <w:rsid w:val="00106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065F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F0B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9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5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topa@aucegyp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2024-03-29T19:51:00Z</dcterms:created>
  <dcterms:modified xsi:type="dcterms:W3CDTF">2024-03-29T20:29:00Z</dcterms:modified>
</cp:coreProperties>
</file>